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hemeFill="background1"/>
        <w:ind w:left="1080" w:hanging="1080" w:hangingChars="300"/>
        <w:jc w:val="center"/>
        <w:rPr>
          <w:rFonts w:hint="eastAsia" w:ascii="黑体" w:hAnsi="黑体" w:eastAsia="黑体" w:cs="宋体"/>
          <w:kern w:val="0"/>
          <w:sz w:val="36"/>
          <w:szCs w:val="36"/>
        </w:rPr>
      </w:pPr>
      <w:r>
        <w:rPr>
          <w:rFonts w:hint="eastAsia" w:ascii="黑体" w:hAnsi="黑体" w:eastAsia="黑体" w:cs="宋体"/>
          <w:kern w:val="0"/>
          <w:sz w:val="36"/>
          <w:szCs w:val="36"/>
        </w:rPr>
        <w:t>浙江省食品药品监督管理局</w:t>
      </w:r>
    </w:p>
    <w:p>
      <w:pPr>
        <w:widowControl/>
        <w:shd w:val="clear" w:color="auto" w:fill="FFFFFF" w:themeFill="background1"/>
        <w:ind w:left="1080" w:hanging="1080" w:hangingChars="300"/>
        <w:jc w:val="center"/>
        <w:rPr>
          <w:rFonts w:ascii="黑体" w:hAnsi="黑体" w:eastAsia="黑体" w:cs="宋体"/>
          <w:kern w:val="0"/>
          <w:sz w:val="36"/>
          <w:szCs w:val="36"/>
        </w:rPr>
      </w:pPr>
      <w:r>
        <w:rPr>
          <w:rFonts w:hint="eastAsia" w:ascii="黑体" w:hAnsi="黑体" w:eastAsia="黑体" w:cs="宋体"/>
          <w:kern w:val="0"/>
          <w:sz w:val="36"/>
          <w:szCs w:val="36"/>
        </w:rPr>
        <w:t>关于加强保健食品会议营销监管的通知</w:t>
      </w:r>
    </w:p>
    <w:p>
      <w:pPr>
        <w:adjustRightInd w:val="0"/>
        <w:snapToGrid w:val="0"/>
        <w:spacing w:line="620" w:lineRule="exact"/>
        <w:rPr>
          <w:rFonts w:ascii="仿宋_GB2312" w:hAnsi="等线" w:eastAsia="仿宋_GB2312" w:cs="Times New Roman"/>
          <w:sz w:val="32"/>
          <w:szCs w:val="32"/>
        </w:rPr>
      </w:pPr>
    </w:p>
    <w:p>
      <w:pPr>
        <w:adjustRightInd w:val="0"/>
        <w:snapToGrid w:val="0"/>
        <w:spacing w:line="620" w:lineRule="exact"/>
        <w:rPr>
          <w:rFonts w:ascii="仿宋_GB2312" w:hAnsi="等线" w:eastAsia="仿宋_GB2312" w:cs="Times New Roman"/>
          <w:sz w:val="32"/>
          <w:szCs w:val="32"/>
        </w:rPr>
      </w:pPr>
      <w:r>
        <w:rPr>
          <w:rFonts w:hint="eastAsia" w:ascii="仿宋_GB2312" w:hAnsi="等线" w:eastAsia="仿宋_GB2312" w:cs="Times New Roman"/>
          <w:sz w:val="32"/>
          <w:szCs w:val="32"/>
        </w:rPr>
        <w:t>各</w:t>
      </w:r>
      <w:r>
        <w:rPr>
          <w:rFonts w:hint="eastAsia" w:ascii="仿宋_GB2312" w:eastAsia="仿宋_GB2312"/>
          <w:sz w:val="32"/>
          <w:szCs w:val="32"/>
        </w:rPr>
        <w:t>市</w:t>
      </w:r>
      <w:r>
        <w:rPr>
          <w:rFonts w:hint="eastAsia" w:ascii="仿宋_GB2312" w:hAnsi="等线" w:eastAsia="仿宋_GB2312" w:cs="Times New Roman"/>
          <w:sz w:val="32"/>
          <w:szCs w:val="32"/>
        </w:rPr>
        <w:t>市场监督管理局</w:t>
      </w:r>
      <w:r>
        <w:rPr>
          <w:rFonts w:hint="eastAsia" w:ascii="仿宋_GB2312" w:eastAsia="仿宋_GB2312"/>
          <w:sz w:val="32"/>
          <w:szCs w:val="32"/>
        </w:rPr>
        <w:t>（食品药品监督管理局），</w:t>
      </w:r>
      <w:r>
        <w:rPr>
          <w:rFonts w:hint="eastAsia" w:ascii="仿宋_GB2312" w:hAnsi="等线" w:eastAsia="仿宋_GB2312" w:cs="Times New Roman"/>
          <w:sz w:val="32"/>
          <w:szCs w:val="32"/>
        </w:rPr>
        <w:t>省局有关</w:t>
      </w:r>
      <w:r>
        <w:rPr>
          <w:rFonts w:hint="eastAsia" w:ascii="仿宋_GB2312" w:eastAsia="仿宋_GB2312"/>
          <w:sz w:val="32"/>
          <w:szCs w:val="32"/>
        </w:rPr>
        <w:t>处室、</w:t>
      </w:r>
      <w:r>
        <w:rPr>
          <w:rFonts w:hint="eastAsia" w:ascii="仿宋_GB2312" w:hAnsi="等线" w:eastAsia="仿宋_GB2312" w:cs="Times New Roman"/>
          <w:sz w:val="32"/>
          <w:szCs w:val="32"/>
        </w:rPr>
        <w:t>直属</w:t>
      </w:r>
      <w:r>
        <w:rPr>
          <w:rFonts w:hint="eastAsia" w:ascii="仿宋_GB2312" w:eastAsia="仿宋_GB2312"/>
          <w:sz w:val="32"/>
          <w:szCs w:val="32"/>
        </w:rPr>
        <w:t>有关</w:t>
      </w:r>
      <w:r>
        <w:rPr>
          <w:rFonts w:hint="eastAsia" w:ascii="仿宋_GB2312" w:hAnsi="等线" w:eastAsia="仿宋_GB2312" w:cs="Times New Roman"/>
          <w:sz w:val="32"/>
          <w:szCs w:val="32"/>
        </w:rPr>
        <w:t>单位：</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434343"/>
          <w:kern w:val="0"/>
          <w:sz w:val="32"/>
          <w:szCs w:val="32"/>
        </w:rPr>
      </w:pPr>
      <w:r>
        <w:rPr>
          <w:rFonts w:hint="eastAsia" w:ascii="仿宋_GB2312" w:hAnsi="华文仿宋" w:eastAsia="仿宋_GB2312" w:cs="宋体"/>
          <w:color w:val="333333"/>
          <w:kern w:val="0"/>
          <w:sz w:val="32"/>
          <w:szCs w:val="32"/>
        </w:rPr>
        <w:t>近年来，以会议营销方式销售保健食品的经营行为日益增多，部分不法经营者为了赚取高额利润，</w:t>
      </w:r>
      <w:r>
        <w:rPr>
          <w:rFonts w:hint="eastAsia" w:ascii="仿宋_GB2312" w:hAnsi="华文仿宋" w:eastAsia="仿宋_GB2312" w:cs="宋体"/>
          <w:color w:val="434343"/>
          <w:kern w:val="0"/>
          <w:sz w:val="32"/>
          <w:szCs w:val="32"/>
        </w:rPr>
        <w:t>混淆保健食品与食品、药品及其它产品的概念，</w:t>
      </w:r>
      <w:r>
        <w:rPr>
          <w:rFonts w:hint="eastAsia" w:ascii="仿宋_GB2312" w:hAnsi="华文仿宋" w:eastAsia="仿宋_GB2312" w:cs="宋体"/>
          <w:color w:val="333333"/>
          <w:kern w:val="0"/>
          <w:sz w:val="32"/>
          <w:szCs w:val="32"/>
        </w:rPr>
        <w:t>以中老年人为主要销售对象，利用虚假夸大宣传、</w:t>
      </w:r>
      <w:r>
        <w:rPr>
          <w:rFonts w:hint="eastAsia" w:ascii="仿宋_GB2312" w:hAnsi="华文仿宋" w:eastAsia="仿宋_GB2312" w:cs="宋体"/>
          <w:color w:val="434343"/>
          <w:kern w:val="0"/>
          <w:sz w:val="32"/>
          <w:szCs w:val="32"/>
        </w:rPr>
        <w:t>欺诈高价推销</w:t>
      </w:r>
      <w:r>
        <w:rPr>
          <w:rFonts w:hint="eastAsia" w:ascii="仿宋_GB2312" w:hAnsi="华文仿宋" w:eastAsia="仿宋_GB2312" w:cs="宋体"/>
          <w:color w:val="333333"/>
          <w:kern w:val="0"/>
          <w:sz w:val="32"/>
          <w:szCs w:val="32"/>
        </w:rPr>
        <w:t>等非法手段进行非法营销，引发较多消费投诉，成为社会关注的焦点与监管的难点。</w:t>
      </w:r>
      <w:r>
        <w:rPr>
          <w:rFonts w:hint="eastAsia" w:ascii="仿宋_GB2312" w:hAnsi="华文仿宋" w:eastAsia="仿宋_GB2312" w:cs="宋体"/>
          <w:color w:val="434343"/>
          <w:kern w:val="0"/>
          <w:sz w:val="32"/>
          <w:szCs w:val="32"/>
        </w:rPr>
        <w:t>为进一步规范保健食品市场秩序，加大规范整治保健食品会议营销违法违规行为的力度，维护消费者合法权益，</w:t>
      </w:r>
      <w:r>
        <w:rPr>
          <w:rFonts w:hint="eastAsia" w:ascii="仿宋_GB2312" w:hAnsi="华文仿宋" w:eastAsia="仿宋_GB2312" w:cs="宋体"/>
          <w:color w:val="333333"/>
          <w:kern w:val="0"/>
          <w:sz w:val="32"/>
          <w:szCs w:val="32"/>
        </w:rPr>
        <w:t>根据《中华人民共和国食品安全法》、《中华人民共和国广告法》、《食品经营许可管理办法》等法律法规，</w:t>
      </w:r>
      <w:r>
        <w:rPr>
          <w:rFonts w:hint="eastAsia" w:ascii="仿宋_GB2312" w:hAnsi="华文仿宋" w:eastAsia="仿宋_GB2312" w:cs="宋体"/>
          <w:color w:val="434343"/>
          <w:kern w:val="0"/>
          <w:sz w:val="32"/>
          <w:szCs w:val="32"/>
        </w:rPr>
        <w:t>现就加强保健食品会议营销监管有关要求通知如下：</w:t>
      </w:r>
    </w:p>
    <w:p>
      <w:pPr>
        <w:widowControl/>
        <w:shd w:val="clear" w:color="auto" w:fill="FFFFFF" w:themeFill="background1"/>
        <w:adjustRightInd w:val="0"/>
        <w:snapToGrid w:val="0"/>
        <w:spacing w:line="360" w:lineRule="auto"/>
        <w:ind w:firstLine="643" w:firstLineChars="200"/>
        <w:rPr>
          <w:rFonts w:ascii="仿宋_GB2312" w:hAnsi="华文仿宋" w:eastAsia="仿宋_GB2312" w:cs="宋体"/>
          <w:color w:val="333333"/>
          <w:kern w:val="0"/>
          <w:sz w:val="32"/>
          <w:szCs w:val="32"/>
        </w:rPr>
      </w:pPr>
      <w:r>
        <w:rPr>
          <w:rFonts w:hint="eastAsia" w:ascii="仿宋_GB2312" w:hAnsi="华文仿宋" w:eastAsia="仿宋_GB2312" w:cs="宋体"/>
          <w:b/>
          <w:bCs/>
          <w:color w:val="333333"/>
          <w:kern w:val="0"/>
          <w:sz w:val="32"/>
          <w:szCs w:val="32"/>
        </w:rPr>
        <w:t>一、规范保健食品会议营销主体资格，加强主体资格审查</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保健食品会议营销是指通过会议宣讲、健康科普讲座（包括在线网络视频讲座）、健康义诊咨询活动、基地（企业）旅游参观、体验等方式推销保健食品，属于食品经营范畴，根据《食品经营许可管理办法》有关规定，应依法取得食品经营许可。因此，从事保健食品会议营销的经营者，应当依法申请食品经营许可证，取得含“保健食品销售”经营项目。会议营销的产品必须是依法取得保健食品注册或备案号的保健食品。</w:t>
      </w:r>
    </w:p>
    <w:p>
      <w:pPr>
        <w:widowControl/>
        <w:shd w:val="clear" w:color="auto" w:fill="FFFFFF" w:themeFill="background1"/>
        <w:adjustRightInd w:val="0"/>
        <w:snapToGrid w:val="0"/>
        <w:spacing w:line="360" w:lineRule="auto"/>
        <w:ind w:firstLine="643" w:firstLineChars="200"/>
        <w:rPr>
          <w:rFonts w:ascii="仿宋_GB2312" w:hAnsi="华文仿宋" w:eastAsia="仿宋_GB2312" w:cs="宋体"/>
          <w:color w:val="333333"/>
          <w:kern w:val="0"/>
          <w:sz w:val="32"/>
          <w:szCs w:val="32"/>
        </w:rPr>
      </w:pPr>
      <w:r>
        <w:rPr>
          <w:rFonts w:hint="eastAsia" w:ascii="仿宋_GB2312" w:hAnsi="华文仿宋" w:eastAsia="仿宋_GB2312" w:cs="宋体"/>
          <w:b/>
          <w:bCs/>
          <w:color w:val="333333"/>
          <w:kern w:val="0"/>
          <w:sz w:val="32"/>
          <w:szCs w:val="32"/>
        </w:rPr>
        <w:t xml:space="preserve">二、规范会议营销宣传内容，加强广告宣传管理 </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在会议营销中宣传的保健食品广告，如张贴的宣传海报、派发的产品宣传资料、以及播放的视频音频等，内容应当真实合法，不得涉及疾病预防、治疗功能，还应当声明“本品不能代替药物”；其内容应当经生产企业所在地省级食品药品监管部门审查批准，取得保健食品广告批准文件。保健食品会议营销的举办者对广告内容的真实性、合法性负责。</w:t>
      </w:r>
    </w:p>
    <w:p>
      <w:pPr>
        <w:widowControl/>
        <w:shd w:val="clear" w:color="auto" w:fill="FFFFFF" w:themeFill="background1"/>
        <w:adjustRightInd w:val="0"/>
        <w:snapToGrid w:val="0"/>
        <w:spacing w:line="360" w:lineRule="auto"/>
        <w:ind w:firstLine="643" w:firstLineChars="200"/>
        <w:rPr>
          <w:rFonts w:ascii="仿宋_GB2312" w:hAnsi="华文仿宋" w:eastAsia="仿宋_GB2312" w:cs="宋体"/>
          <w:color w:val="333333"/>
          <w:kern w:val="0"/>
          <w:sz w:val="32"/>
          <w:szCs w:val="32"/>
        </w:rPr>
      </w:pPr>
      <w:r>
        <w:rPr>
          <w:rFonts w:hint="eastAsia" w:ascii="仿宋_GB2312" w:hAnsi="华文仿宋" w:eastAsia="仿宋_GB2312" w:cs="宋体"/>
          <w:b/>
          <w:bCs/>
          <w:color w:val="333333"/>
          <w:kern w:val="0"/>
          <w:sz w:val="32"/>
          <w:szCs w:val="32"/>
        </w:rPr>
        <w:t>三、规范会议营销活动，加强活动举办场所的管理</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食品经营许可证中核准的经营场所是经营保健食品的法定场所，可以从事保健食品经营活动。使用（租用）宾馆、酒店、影院或其他场所举办保健食品会议营销活动的，可以对产品进行真实、合法的宣传，但不得进行现场销售产品活动。提供场地的管理方应当查验会议营销举办方的食品经营许可证和保健食品广告批准文件，留存其许可证和举办方负责人的有效身份证件复印件备查。发现有违法违规行为的，应当及时制止并立即报告所在地县级市场监督管理局或公安部门。</w:t>
      </w:r>
    </w:p>
    <w:p>
      <w:pPr>
        <w:widowControl/>
        <w:shd w:val="clear" w:color="auto" w:fill="FFFFFF" w:themeFill="background1"/>
        <w:adjustRightInd w:val="0"/>
        <w:snapToGrid w:val="0"/>
        <w:spacing w:line="360" w:lineRule="auto"/>
        <w:ind w:firstLine="643" w:firstLineChars="200"/>
        <w:rPr>
          <w:rFonts w:ascii="仿宋_GB2312" w:hAnsi="华文仿宋" w:eastAsia="仿宋_GB2312" w:cs="宋体"/>
          <w:color w:val="333333"/>
          <w:kern w:val="0"/>
          <w:sz w:val="32"/>
          <w:szCs w:val="32"/>
        </w:rPr>
      </w:pPr>
      <w:r>
        <w:rPr>
          <w:rFonts w:hint="eastAsia" w:ascii="仿宋_GB2312" w:hAnsi="华文仿宋" w:eastAsia="仿宋_GB2312" w:cs="宋体"/>
          <w:b/>
          <w:bCs/>
          <w:color w:val="333333"/>
          <w:kern w:val="0"/>
          <w:sz w:val="32"/>
          <w:szCs w:val="32"/>
        </w:rPr>
        <w:t>四、依法从严查处，严厉打击非法经营活动</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各级市场监督管理局应当依照法律、法规的规定，加强对保健食品会议营销的监管。对会议营销涉及的保健食品无证经营销售，未取得保健食品广告批准文件进行广告宣传或进行虚假夸大广告宣传，销售产品存在非法添加、假冒伪劣等其它影响公众身体健康和生命安全的，由所在地市场监督管理局依法查处；涉嫌犯罪的，应及时移送公安部门处理。</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对于没有取得食品经营许可证的企业，违法开展保健食品会议营销活动，或已取得食品经营许可证但未取得“保健食品销售”经营项目的食品经营企业，违法开展保健食品会议营销活动的，按照《食品安全法》第一百二十二条“未取得食品生产经营许可从事食品生产经营活动”的有关规定查处。</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出租宾馆、酒店、影院、体育馆以及其他会议场地给没有取得保健食品合法经营许可资质的企业开展保健食品非法会议营销的，对出租方，按照《食品安全法》第一百二十二条第二款的有关规定查处。</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销售未按规定注册或备案的保健食品的，产品质量检验不合格的，或其它不符合法律、法规和食品安全标准的，按照《食品安全法》第一百二十四条有关规定查处；涉嫌犯罪的，移交公安部门查处。</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保健食品会议营销的保健食品涉嫌非法添加药品、非食用化学物质的，对经营者和出租方，按照《食品安全法》第一百二十三条有关规定查处。涉嫌犯罪的，移交公安部门查处。</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在会议营销广告宣传中对保健食品进行虚假宣传，欺骗消费者，或者发布未取得批准文件、广告内容与批准文件不一致的保健食品广告的，按照《食品安全法》和《广告法》有关规定查处。</w:t>
      </w:r>
      <w:r>
        <w:rPr>
          <w:rFonts w:ascii="仿宋_GB2312" w:hAnsi="华文仿宋" w:eastAsia="仿宋_GB2312" w:cs="宋体"/>
          <w:color w:val="333333"/>
          <w:kern w:val="0"/>
          <w:sz w:val="32"/>
          <w:szCs w:val="32"/>
        </w:rPr>
        <w:t xml:space="preserve"> </w:t>
      </w:r>
    </w:p>
    <w:p>
      <w:pPr>
        <w:widowControl/>
        <w:shd w:val="clear" w:color="auto" w:fill="FFFFFF" w:themeFill="background1"/>
        <w:adjustRightInd w:val="0"/>
        <w:snapToGrid w:val="0"/>
        <w:spacing w:line="360" w:lineRule="auto"/>
        <w:ind w:firstLine="643" w:firstLineChars="200"/>
        <w:rPr>
          <w:rFonts w:ascii="仿宋_GB2312" w:hAnsi="华文仿宋" w:eastAsia="仿宋_GB2312" w:cs="宋体"/>
          <w:color w:val="333333"/>
          <w:kern w:val="0"/>
          <w:sz w:val="32"/>
          <w:szCs w:val="32"/>
        </w:rPr>
      </w:pPr>
      <w:r>
        <w:rPr>
          <w:rFonts w:hint="eastAsia" w:ascii="仿宋_GB2312" w:hAnsi="华文仿宋" w:eastAsia="仿宋_GB2312" w:cs="宋体"/>
          <w:b/>
          <w:bCs/>
          <w:color w:val="333333"/>
          <w:kern w:val="0"/>
          <w:sz w:val="32"/>
          <w:szCs w:val="32"/>
        </w:rPr>
        <w:t>五、工作要求</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各级市场监督管理局应从部门职责出发，加强对保健食品会议营销行为的监管。</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一）将保健食品会议营销纳入日常监督计划，重点对经营主体资格、产品合法性、广告宣传内容、进货查验记录制度落实情况等进行检查。加大对此类产品的监督抽检力度，充分利用快筛快检技术，重点针对非法添加物质进行检测。</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（二）建立会议营销监管信息联动曝光工作制度，加大曝光力度。有条件的应在网络等媒体上设立保健食品消费警示栏，曝光非法保健食品会议营销行为，发布消费警示，畅通举报渠道。</w:t>
      </w:r>
    </w:p>
    <w:p>
      <w:pPr>
        <w:adjustRightInd w:val="0"/>
        <w:snapToGrid w:val="0"/>
        <w:spacing w:line="360" w:lineRule="auto"/>
        <w:ind w:firstLine="640" w:firstLineChars="200"/>
        <w:rPr>
          <w:rFonts w:ascii="仿宋_GB2312" w:hAnsi="楷体" w:eastAsia="仿宋_GB2312"/>
          <w:sz w:val="32"/>
          <w:szCs w:val="32"/>
        </w:rPr>
      </w:pPr>
      <w:r>
        <w:rPr>
          <w:rFonts w:hint="eastAsia" w:ascii="仿宋_GB2312" w:hAnsi="华文仿宋" w:eastAsia="仿宋_GB2312" w:cs="宋体"/>
          <w:color w:val="333333"/>
          <w:kern w:val="0"/>
          <w:sz w:val="32"/>
          <w:szCs w:val="32"/>
        </w:rPr>
        <w:t>（三）积极开展保健食品科普知识宣传进“</w:t>
      </w:r>
      <w:r>
        <w:rPr>
          <w:rFonts w:ascii="仿宋_GB2312" w:hAnsi="楷体" w:eastAsia="仿宋_GB2312"/>
          <w:sz w:val="32"/>
          <w:szCs w:val="32"/>
        </w:rPr>
        <w:t>进校园</w:t>
      </w:r>
      <w:r>
        <w:rPr>
          <w:rFonts w:hint="eastAsia" w:ascii="仿宋_GB2312" w:hAnsi="楷体" w:eastAsia="仿宋_GB2312"/>
          <w:sz w:val="32"/>
          <w:szCs w:val="32"/>
        </w:rPr>
        <w:t>、</w:t>
      </w:r>
      <w:r>
        <w:rPr>
          <w:rFonts w:ascii="仿宋_GB2312" w:hAnsi="楷体" w:eastAsia="仿宋_GB2312"/>
          <w:sz w:val="32"/>
          <w:szCs w:val="32"/>
        </w:rPr>
        <w:t>进机关、进企业</w:t>
      </w:r>
      <w:r>
        <w:rPr>
          <w:rFonts w:hint="eastAsia" w:ascii="仿宋_GB2312" w:hAnsi="楷体" w:eastAsia="仿宋_GB2312"/>
          <w:sz w:val="32"/>
          <w:szCs w:val="32"/>
        </w:rPr>
        <w:t>、进社区、进乡村</w:t>
      </w:r>
      <w:r>
        <w:rPr>
          <w:rFonts w:ascii="仿宋_GB2312" w:hAnsi="楷体" w:eastAsia="仿宋_GB2312"/>
          <w:sz w:val="32"/>
          <w:szCs w:val="32"/>
        </w:rPr>
        <w:t>”</w:t>
      </w:r>
      <w:r>
        <w:rPr>
          <w:rFonts w:hint="eastAsia" w:ascii="仿宋_GB2312" w:hAnsi="楷体" w:eastAsia="仿宋_GB2312"/>
          <w:sz w:val="32"/>
          <w:szCs w:val="32"/>
        </w:rPr>
        <w:t>为内容的“五</w:t>
      </w:r>
      <w:r>
        <w:rPr>
          <w:rFonts w:ascii="仿宋_GB2312" w:hAnsi="楷体" w:eastAsia="仿宋_GB2312"/>
          <w:sz w:val="32"/>
          <w:szCs w:val="32"/>
        </w:rPr>
        <w:t>进</w:t>
      </w:r>
      <w:r>
        <w:rPr>
          <w:rFonts w:hint="eastAsia" w:ascii="仿宋_GB2312" w:hAnsi="楷体" w:eastAsia="仿宋_GB2312"/>
          <w:sz w:val="32"/>
          <w:szCs w:val="32"/>
        </w:rPr>
        <w:t>”</w:t>
      </w:r>
      <w:r>
        <w:rPr>
          <w:rFonts w:ascii="仿宋_GB2312" w:hAnsi="楷体" w:eastAsia="仿宋_GB2312"/>
          <w:sz w:val="32"/>
          <w:szCs w:val="32"/>
        </w:rPr>
        <w:t>宣传活动</w:t>
      </w:r>
      <w:r>
        <w:rPr>
          <w:rFonts w:hint="eastAsia" w:ascii="仿宋_GB2312" w:hAnsi="楷体" w:eastAsia="仿宋_GB2312"/>
          <w:sz w:val="32"/>
          <w:szCs w:val="32"/>
        </w:rPr>
        <w:t>，</w:t>
      </w:r>
      <w:r>
        <w:rPr>
          <w:rFonts w:hint="eastAsia" w:ascii="仿宋_GB2312" w:hAnsi="华文仿宋" w:eastAsia="仿宋_GB2312" w:cs="宋体"/>
          <w:color w:val="333333"/>
          <w:kern w:val="0"/>
          <w:sz w:val="32"/>
          <w:szCs w:val="32"/>
        </w:rPr>
        <w:t>尤其应加强中老年人群中保健食品科普</w:t>
      </w:r>
      <w:r>
        <w:rPr>
          <w:rFonts w:hint="eastAsia" w:ascii="仿宋_GB2312" w:hAnsi="楷体" w:eastAsia="仿宋_GB2312"/>
          <w:sz w:val="32"/>
          <w:szCs w:val="32"/>
        </w:rPr>
        <w:t>宣讲，增强理性消费意识，防止不法分子利用</w:t>
      </w:r>
      <w:r>
        <w:rPr>
          <w:rFonts w:hint="eastAsia" w:ascii="仿宋_GB2312" w:hAnsi="华文仿宋" w:eastAsia="仿宋_GB2312" w:cs="宋体"/>
          <w:color w:val="333333"/>
          <w:kern w:val="0"/>
          <w:sz w:val="32"/>
          <w:szCs w:val="32"/>
        </w:rPr>
        <w:t>健康讲座、专家义诊、免费赠送、权威证明等会议营销形式误导欺骗老年人。</w:t>
      </w:r>
    </w:p>
    <w:p>
      <w:pPr>
        <w:widowControl/>
        <w:shd w:val="clear" w:color="auto" w:fill="FFFFFF" w:themeFill="background1"/>
        <w:adjustRightInd w:val="0"/>
        <w:snapToGrid w:val="0"/>
        <w:spacing w:line="360" w:lineRule="auto"/>
        <w:ind w:firstLine="640" w:firstLineChars="200"/>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四）营造社会共治、公众参与的良好监管格局。各级市场监督管理局应建立保健食品会议营销长效监管机制，把明查与暗访、部门监管与社会监督相结合；充分发挥基层食品安全协管员、信息员作用主动收集保健食品会议营销方面的信息；在宾馆、电影院、体育馆等人员聚集的场所，采取张贴标语、设立宣传栏等方式，警示群众，宣传保健食品有关的政策法规、科普知识；要加强对保健食品会议营销举办者和场所提供者的诚信管理；要根据对会议营销监测和接到的消费投诉等情况，建立信用档案，把有重大违规行为的保健食品会议营销举办者、品种和场所提供者纳入“黑名单”；要加强与公安、卫生、物价等部门的协调，加大对违法从事保健食品会议营销行为的监管。</w:t>
      </w:r>
    </w:p>
    <w:p>
      <w:pPr>
        <w:widowControl/>
        <w:shd w:val="clear" w:color="auto" w:fill="FFFFFF" w:themeFill="background1"/>
        <w:spacing w:before="100" w:beforeAutospacing="1" w:after="100" w:afterAutospacing="1" w:line="360" w:lineRule="auto"/>
        <w:ind w:firstLine="640" w:firstLineChars="200"/>
        <w:jc w:val="right"/>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浙江省食品药品监督管理局</w:t>
      </w:r>
    </w:p>
    <w:p>
      <w:pPr>
        <w:widowControl/>
        <w:shd w:val="clear" w:color="auto" w:fill="FFFFFF" w:themeFill="background1"/>
        <w:spacing w:before="100" w:beforeAutospacing="1" w:after="100" w:afterAutospacing="1" w:line="360" w:lineRule="auto"/>
        <w:ind w:firstLine="640" w:firstLineChars="200"/>
        <w:jc w:val="left"/>
        <w:rPr>
          <w:rFonts w:ascii="仿宋_GB2312" w:hAnsi="华文仿宋" w:eastAsia="仿宋_GB2312" w:cs="宋体"/>
          <w:color w:val="333333"/>
          <w:kern w:val="0"/>
          <w:sz w:val="32"/>
          <w:szCs w:val="32"/>
        </w:rPr>
      </w:pPr>
      <w:r>
        <w:rPr>
          <w:rFonts w:hint="eastAsia" w:ascii="仿宋_GB2312" w:hAnsi="华文仿宋" w:eastAsia="仿宋_GB2312" w:cs="宋体"/>
          <w:color w:val="333333"/>
          <w:kern w:val="0"/>
          <w:sz w:val="32"/>
          <w:szCs w:val="32"/>
        </w:rPr>
        <w:t>                                                       2017年2月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7397"/>
    <w:rsid w:val="00010D17"/>
    <w:rsid w:val="000460EE"/>
    <w:rsid w:val="00071CFB"/>
    <w:rsid w:val="00105793"/>
    <w:rsid w:val="00166417"/>
    <w:rsid w:val="001C3D69"/>
    <w:rsid w:val="001D6C5F"/>
    <w:rsid w:val="00213558"/>
    <w:rsid w:val="00233164"/>
    <w:rsid w:val="00242306"/>
    <w:rsid w:val="002D048C"/>
    <w:rsid w:val="002D1258"/>
    <w:rsid w:val="00350D2D"/>
    <w:rsid w:val="00495371"/>
    <w:rsid w:val="004B4BDC"/>
    <w:rsid w:val="00576FFC"/>
    <w:rsid w:val="0064642B"/>
    <w:rsid w:val="00646787"/>
    <w:rsid w:val="00650369"/>
    <w:rsid w:val="0069780D"/>
    <w:rsid w:val="00747E5B"/>
    <w:rsid w:val="0075693F"/>
    <w:rsid w:val="0076162A"/>
    <w:rsid w:val="00790D5D"/>
    <w:rsid w:val="007B6847"/>
    <w:rsid w:val="007B69A5"/>
    <w:rsid w:val="00854B97"/>
    <w:rsid w:val="0087118A"/>
    <w:rsid w:val="008B2E25"/>
    <w:rsid w:val="008F1773"/>
    <w:rsid w:val="00916BD4"/>
    <w:rsid w:val="00984AC8"/>
    <w:rsid w:val="009A2C03"/>
    <w:rsid w:val="009B1301"/>
    <w:rsid w:val="00A87393"/>
    <w:rsid w:val="00A91827"/>
    <w:rsid w:val="00AD7397"/>
    <w:rsid w:val="00B15C69"/>
    <w:rsid w:val="00BB4448"/>
    <w:rsid w:val="00C06964"/>
    <w:rsid w:val="00C33B9B"/>
    <w:rsid w:val="00CE06C0"/>
    <w:rsid w:val="00CF6C98"/>
    <w:rsid w:val="00D1354B"/>
    <w:rsid w:val="00D56E69"/>
    <w:rsid w:val="00E501BD"/>
    <w:rsid w:val="00E908B9"/>
    <w:rsid w:val="00F16A40"/>
    <w:rsid w:val="00F71DFA"/>
    <w:rsid w:val="00F8470E"/>
    <w:rsid w:val="00FA7EF0"/>
    <w:rsid w:val="00FB5880"/>
    <w:rsid w:val="028E58B3"/>
    <w:rsid w:val="465E397D"/>
    <w:rsid w:val="5966159C"/>
    <w:rsid w:val="59C47A6D"/>
    <w:rsid w:val="71CE78B8"/>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F1CFD6-8D3A-4434-AFEF-EAC33FD53BF2}">
  <ds:schemaRefs/>
</ds:datastoreItem>
</file>

<file path=docProps/app.xml><?xml version="1.0" encoding="utf-8"?>
<Properties xmlns="http://schemas.openxmlformats.org/officeDocument/2006/extended-properties" xmlns:vt="http://schemas.openxmlformats.org/officeDocument/2006/docPropsVTypes">
  <Template>Normal.dotm</Template>
  <Company>ZJFDA</Company>
  <Pages>5</Pages>
  <Words>350</Words>
  <Characters>1997</Characters>
  <Lines>16</Lines>
  <Paragraphs>4</Paragraphs>
  <ScaleCrop>false</ScaleCrop>
  <LinksUpToDate>false</LinksUpToDate>
  <CharactersWithSpaces>2343</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2017-02-13T06:10:00Z</dcterms:created>
  <dc:creator>郑菊香</dc:creator>
  <cp:lastModifiedBy>j</cp:lastModifiedBy>
  <cp:lastPrinted>2017-02-22T13:56:00Z</cp:lastPrinted>
  <dcterms:modified xsi:type="dcterms:W3CDTF">2017-03-03T12:36:04Z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